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31" w:rsidRPr="0058257A" w:rsidRDefault="00FC0231" w:rsidP="00FC0231">
      <w:pPr>
        <w:autoSpaceDE w:val="0"/>
        <w:autoSpaceDN w:val="0"/>
        <w:adjustRightInd w:val="0"/>
        <w:jc w:val="both"/>
        <w:rPr>
          <w:b/>
          <w:bCs/>
        </w:rPr>
      </w:pPr>
      <w:r w:rsidRPr="0058257A">
        <w:rPr>
          <w:b/>
          <w:bCs/>
        </w:rPr>
        <w:t xml:space="preserve">ATTIVITÁ  7 -  Attività diverse dalla produzione primaria di mangimi e attività correlate (art. 5 comma 2 Reg.(CE) n. 183/05) </w:t>
      </w:r>
    </w:p>
    <w:p w:rsidR="00FC0231" w:rsidRPr="0058257A" w:rsidRDefault="00FC0231" w:rsidP="00FC023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620"/>
      </w:tblGrid>
      <w:tr w:rsidR="00FC0231" w:rsidRPr="0058257A" w:rsidTr="00CE1822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257A">
              <w:rPr>
                <w:b/>
                <w:bCs/>
              </w:rPr>
              <w:t xml:space="preserve">Informazioni generali 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</w:rPr>
            </w:pPr>
            <w:r w:rsidRPr="0058257A">
              <w:rPr>
                <w:b/>
              </w:rPr>
              <w:t xml:space="preserve">Specie allevate:                 </w:t>
            </w:r>
            <w:proofErr w:type="spellStart"/>
            <w:r w:rsidRPr="0058257A">
              <w:rPr>
                <w:b/>
              </w:rPr>
              <w:t>N°capi</w:t>
            </w:r>
            <w:proofErr w:type="spellEnd"/>
            <w:r w:rsidRPr="0058257A">
              <w:rPr>
                <w:b/>
              </w:rPr>
              <w:t>:                                   Indirizzo produttivo: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-                                        -                                               </w:t>
            </w:r>
            <w:r w:rsidRPr="0058257A">
              <w:t xml:space="preserve">   carne       lana /pellicce   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-                                        -                                               </w:t>
            </w:r>
            <w:r w:rsidRPr="0058257A">
              <w:t xml:space="preserve">   latte         pesce               </w:t>
            </w:r>
            <w:r w:rsidRPr="0058257A">
              <w:t xml:space="preserve">                             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-                                        -                                               </w:t>
            </w:r>
            <w:r w:rsidRPr="0058257A">
              <w:t xml:space="preserve">   uova        altro                 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                                                                                                                ……………….                            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Se azienda zootecnica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640" w:type="dxa"/>
          </w:tcPr>
          <w:p w:rsidR="00FC0231" w:rsidRPr="003D03EF" w:rsidRDefault="00FC0231" w:rsidP="00CE1822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3D03EF">
              <w:rPr>
                <w:highlight w:val="green"/>
              </w:rPr>
              <w:t>Possesso del documento di valutazione dei rischi derivanti da agenti fisici, chimici e biologici ed (</w:t>
            </w:r>
            <w:proofErr w:type="spellStart"/>
            <w:r w:rsidRPr="003D03EF">
              <w:rPr>
                <w:highlight w:val="green"/>
              </w:rPr>
              <w:t>D.Lvo</w:t>
            </w:r>
            <w:proofErr w:type="spellEnd"/>
            <w:r w:rsidRPr="003D03EF">
              <w:rPr>
                <w:highlight w:val="green"/>
              </w:rPr>
              <w:t xml:space="preserve">. n. 81/2008, art. 17 comma 1 </w:t>
            </w:r>
            <w:proofErr w:type="spellStart"/>
            <w:r w:rsidRPr="003D03EF">
              <w:rPr>
                <w:highlight w:val="green"/>
              </w:rPr>
              <w:t>let</w:t>
            </w:r>
            <w:proofErr w:type="spellEnd"/>
            <w:r w:rsidRPr="003D03EF">
              <w:rPr>
                <w:highlight w:val="green"/>
              </w:rPr>
              <w:t>. a, art. 28 e 29 comma 1).</w:t>
            </w:r>
          </w:p>
        </w:tc>
        <w:tc>
          <w:tcPr>
            <w:tcW w:w="1620" w:type="dxa"/>
          </w:tcPr>
          <w:p w:rsidR="00FC0231" w:rsidRPr="003D03EF" w:rsidRDefault="00FC0231" w:rsidP="00CE1822">
            <w:pPr>
              <w:jc w:val="center"/>
              <w:rPr>
                <w:highlight w:val="green"/>
              </w:rPr>
            </w:pPr>
            <w:r w:rsidRPr="003D03EF">
              <w:rPr>
                <w:highlight w:val="green"/>
              </w:rPr>
              <w:t>SI</w:t>
            </w:r>
            <w:r w:rsidRPr="003D03EF">
              <w:rPr>
                <w:highlight w:val="green"/>
              </w:rPr>
              <w:t>    NO</w:t>
            </w:r>
            <w:r w:rsidRPr="003D03EF">
              <w:rPr>
                <w:highlight w:val="green"/>
              </w:rPr>
              <w:t></w:t>
            </w:r>
          </w:p>
        </w:tc>
      </w:tr>
      <w:tr w:rsidR="00FC0231" w:rsidRPr="0058257A" w:rsidTr="00CE1822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31" w:rsidRDefault="00FC0231" w:rsidP="00CE1822">
            <w:pPr>
              <w:numPr>
                <w:ilvl w:val="12"/>
                <w:numId w:val="0"/>
              </w:numPr>
              <w:rPr>
                <w:b/>
              </w:rPr>
            </w:pPr>
          </w:p>
          <w:p w:rsidR="00FC0231" w:rsidRPr="0058257A" w:rsidRDefault="00FC0231" w:rsidP="00CE1822">
            <w:pPr>
              <w:numPr>
                <w:ilvl w:val="12"/>
                <w:numId w:val="0"/>
              </w:numPr>
              <w:rPr>
                <w:b/>
              </w:rPr>
            </w:pPr>
            <w:r w:rsidRPr="0058257A">
              <w:rPr>
                <w:b/>
              </w:rPr>
              <w:t xml:space="preserve">Locali e attrezzature 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Gli impianti e le attrezzature sono concepiti in modo tale da :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ridurre il rischio di errore e le contaminazioni, 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evitare le contaminazioni crociate, e in generale tutti gli effetti che possono  pregiudicare la sicurezza e la qualità dei prodotti destinati all’alimentazione animale; 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consentirne un’adeguata pulizia e disinfezione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Note:……………………………………………………………………………………………………………………………………………………………………………….…...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 locali sono dotati di una adeguata illuminazione naturale e/o artificiale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Le finestre e le altre aperture (porte ove presenti) hanno una buona tenuta e sono predisposte contro i parassiti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Se necessario, i soffitti  e le strutture sospese sono concepiti, costruiti e rifiniti in modo tale da prevenire l’accumulo di sporco e da ridurre la condensazione, la crescita di muffe indesiderabili e la dispersione di particelle che possano pregiudicare la sicurezza e la qualità dei prodotti. 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 miscelatori usati nella produzione sono appropriati per la gamma di pesi e volumi da miscelarsi e sono in grado di produrre opportune miscele e diluizioni omogenee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Le bilance e gli strumenti di misurazione usati nella produzione sono appropriati per la gamma di pesi o volumi da misurarsi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Gli impianti di scarico sono adatti allo scopo, sono concepiti e costruiti per evitare il rischio di contaminazione dei mangimi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Le acque luride, reflue e l’acqua piovana sono smaltite in modo tale da assicurare che le attrezzature, la sicurezza e qualità dei mangimi non ne risentano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L’acqua utilizzata per la produzione dei mangimi è di qualità adeguata per gli animali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640" w:type="dxa"/>
          </w:tcPr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Le condutture dell’acqua sono inerti</w:t>
            </w:r>
          </w:p>
          <w:p w:rsidR="00FC0231" w:rsidRPr="00B02A57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CE24D5">
              <w:rPr>
                <w:b/>
                <w:sz w:val="24"/>
                <w:szCs w:val="24"/>
                <w:highlight w:val="green"/>
                <w:u w:val="none"/>
              </w:rPr>
              <w:t>Produzione</w:t>
            </w:r>
          </w:p>
        </w:tc>
        <w:tc>
          <w:tcPr>
            <w:tcW w:w="1620" w:type="dxa"/>
            <w:vMerge/>
          </w:tcPr>
          <w:p w:rsidR="00FC0231" w:rsidRPr="0058257A" w:rsidRDefault="00FC0231" w:rsidP="00CE1822">
            <w:pPr>
              <w:pStyle w:val="Titolo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0A56F0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</w:rPr>
            </w:pPr>
            <w:r w:rsidRPr="00CE24D5">
              <w:rPr>
                <w:sz w:val="24"/>
                <w:szCs w:val="24"/>
                <w:highlight w:val="green"/>
              </w:rPr>
              <w:t>Impianti di essiccazione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A3CDE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5A3CDE">
              <w:rPr>
                <w:sz w:val="24"/>
                <w:szCs w:val="24"/>
                <w:highlight w:val="green"/>
                <w:u w:val="none"/>
              </w:rPr>
              <w:t>L’operatore prevede ed effettua una manutenzione appropriata dell’impianto</w:t>
            </w:r>
          </w:p>
        </w:tc>
        <w:tc>
          <w:tcPr>
            <w:tcW w:w="1620" w:type="dxa"/>
          </w:tcPr>
          <w:p w:rsidR="00FC0231" w:rsidRPr="005A3CDE" w:rsidRDefault="00FC0231" w:rsidP="00CE1822">
            <w:pPr>
              <w:rPr>
                <w:highlight w:val="green"/>
              </w:rPr>
            </w:pPr>
            <w:r w:rsidRPr="005A3CDE">
              <w:rPr>
                <w:highlight w:val="green"/>
              </w:rPr>
              <w:t>SI</w:t>
            </w:r>
            <w:r w:rsidRPr="005A3CDE">
              <w:rPr>
                <w:highlight w:val="green"/>
              </w:rPr>
              <w:t>    NO</w:t>
            </w:r>
            <w:r w:rsidRPr="005A3CDE">
              <w:rPr>
                <w:highlight w:val="green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A3CDE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5A3CDE">
              <w:rPr>
                <w:sz w:val="24"/>
                <w:szCs w:val="24"/>
                <w:highlight w:val="green"/>
                <w:u w:val="none"/>
              </w:rPr>
              <w:t>Garantisce che il processo e il tipo di combustibile utilizzato non siano fonte di pericoli nei mangimi (soprattutto in caso di essiccazione diretta)</w:t>
            </w:r>
          </w:p>
        </w:tc>
        <w:tc>
          <w:tcPr>
            <w:tcW w:w="1620" w:type="dxa"/>
          </w:tcPr>
          <w:p w:rsidR="00FC0231" w:rsidRPr="005A3CDE" w:rsidRDefault="00FC0231" w:rsidP="00CE1822">
            <w:pPr>
              <w:rPr>
                <w:highlight w:val="green"/>
              </w:rPr>
            </w:pPr>
            <w:r w:rsidRPr="005A3CDE">
              <w:rPr>
                <w:highlight w:val="green"/>
              </w:rPr>
              <w:t>SI</w:t>
            </w:r>
            <w:r w:rsidRPr="005A3CDE">
              <w:rPr>
                <w:highlight w:val="green"/>
              </w:rPr>
              <w:t>    NO</w:t>
            </w:r>
            <w:r w:rsidRPr="005A3CDE">
              <w:rPr>
                <w:highlight w:val="green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A3CDE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5A3CDE">
              <w:rPr>
                <w:sz w:val="24"/>
                <w:szCs w:val="24"/>
                <w:highlight w:val="green"/>
                <w:u w:val="none"/>
              </w:rPr>
              <w:t>Verifica che le temperature e il grado di essiccazione rispettino le specifiche stabilite</w:t>
            </w:r>
          </w:p>
        </w:tc>
        <w:tc>
          <w:tcPr>
            <w:tcW w:w="1620" w:type="dxa"/>
          </w:tcPr>
          <w:p w:rsidR="00FC0231" w:rsidRPr="005A3CDE" w:rsidRDefault="00FC0231" w:rsidP="00CE1822">
            <w:pPr>
              <w:rPr>
                <w:highlight w:val="green"/>
              </w:rPr>
            </w:pPr>
            <w:r w:rsidRPr="005A3CDE">
              <w:rPr>
                <w:highlight w:val="green"/>
              </w:rPr>
              <w:t>SI</w:t>
            </w:r>
            <w:r w:rsidRPr="005A3CDE">
              <w:rPr>
                <w:highlight w:val="green"/>
              </w:rPr>
              <w:t>    NO</w:t>
            </w:r>
            <w:r w:rsidRPr="005A3CDE">
              <w:rPr>
                <w:highlight w:val="green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640" w:type="dxa"/>
          </w:tcPr>
          <w:p w:rsidR="00FC0231" w:rsidRPr="00CE24D5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highlight w:val="green"/>
                <w:u w:val="none"/>
              </w:rPr>
            </w:pPr>
          </w:p>
        </w:tc>
        <w:tc>
          <w:tcPr>
            <w:tcW w:w="1620" w:type="dxa"/>
          </w:tcPr>
          <w:p w:rsidR="00FC0231" w:rsidRPr="00CE24D5" w:rsidRDefault="00FC0231" w:rsidP="00CE1822">
            <w:pPr>
              <w:rPr>
                <w:highlight w:val="green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640" w:type="dxa"/>
          </w:tcPr>
          <w:p w:rsidR="00FC0231" w:rsidRPr="00CE24D5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highlight w:val="green"/>
                <w:u w:val="none"/>
              </w:rPr>
            </w:pPr>
            <w:r w:rsidRPr="00CE24D5">
              <w:rPr>
                <w:sz w:val="24"/>
                <w:szCs w:val="24"/>
                <w:highlight w:val="green"/>
                <w:u w:val="none"/>
              </w:rPr>
              <w:t>Presenza di flussi di processo segregati per la miscelazione di grassi (</w:t>
            </w:r>
            <w:r>
              <w:rPr>
                <w:sz w:val="24"/>
                <w:szCs w:val="24"/>
                <w:highlight w:val="green"/>
                <w:u w:val="none"/>
              </w:rPr>
              <w:t>R</w:t>
            </w:r>
            <w:r w:rsidRPr="00CE24D5">
              <w:rPr>
                <w:sz w:val="24"/>
                <w:szCs w:val="24"/>
                <w:highlight w:val="green"/>
                <w:u w:val="none"/>
              </w:rPr>
              <w:t>eg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.(UE) </w:t>
            </w:r>
            <w:r w:rsidRPr="00CE24D5">
              <w:rPr>
                <w:sz w:val="24"/>
                <w:szCs w:val="24"/>
                <w:highlight w:val="green"/>
                <w:u w:val="none"/>
              </w:rPr>
              <w:t xml:space="preserve">n.225/2012)                                                                                                               </w:t>
            </w:r>
          </w:p>
          <w:p w:rsidR="00FC0231" w:rsidRPr="00CE24D5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highlight w:val="green"/>
                <w:u w:val="none"/>
              </w:rPr>
            </w:pPr>
            <w:r w:rsidRPr="00CE24D5">
              <w:rPr>
                <w:sz w:val="24"/>
                <w:szCs w:val="24"/>
                <w:highlight w:val="green"/>
                <w:u w:val="none"/>
              </w:rPr>
              <w:t xml:space="preserve">Presenza di linee dedicate alla produzione di mangimi laddove esistono altre attività produttive (es produzioni tecniche/industriali, mangimi non conformi).    </w:t>
            </w:r>
          </w:p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  <w:u w:val="none"/>
              </w:rPr>
            </w:pPr>
            <w:r w:rsidRPr="00CE24D5">
              <w:rPr>
                <w:i/>
                <w:sz w:val="24"/>
                <w:szCs w:val="24"/>
                <w:highlight w:val="green"/>
                <w:u w:val="none"/>
              </w:rPr>
              <w:t>Specificare le attività diverse dalla produzione di mangimi conformi</w:t>
            </w:r>
            <w:r w:rsidRPr="00CE24D5">
              <w:rPr>
                <w:b/>
                <w:sz w:val="24"/>
                <w:szCs w:val="24"/>
                <w:highlight w:val="green"/>
                <w:u w:val="none"/>
              </w:rPr>
              <w:t>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>Stoccaggio e trasporto</w:t>
            </w:r>
          </w:p>
        </w:tc>
        <w:tc>
          <w:tcPr>
            <w:tcW w:w="1620" w:type="dxa"/>
          </w:tcPr>
          <w:p w:rsidR="00FC0231" w:rsidRPr="00CE24D5" w:rsidRDefault="00FC0231" w:rsidP="00CE1822">
            <w:pPr>
              <w:rPr>
                <w:highlight w:val="green"/>
              </w:rPr>
            </w:pPr>
            <w:r w:rsidRPr="00CE24D5">
              <w:rPr>
                <w:highlight w:val="green"/>
              </w:rPr>
              <w:t>SI</w:t>
            </w:r>
            <w:r w:rsidRPr="00CE24D5">
              <w:rPr>
                <w:highlight w:val="green"/>
              </w:rPr>
              <w:t>    NO</w:t>
            </w:r>
            <w:r w:rsidRPr="00CE24D5">
              <w:rPr>
                <w:highlight w:val="green"/>
              </w:rPr>
              <w:t></w:t>
            </w:r>
          </w:p>
          <w:p w:rsidR="00FC0231" w:rsidRPr="00CE24D5" w:rsidRDefault="00FC0231" w:rsidP="00CE1822">
            <w:pPr>
              <w:rPr>
                <w:highlight w:val="green"/>
              </w:rPr>
            </w:pPr>
          </w:p>
          <w:p w:rsidR="00FC0231" w:rsidRPr="00CE24D5" w:rsidRDefault="00FC0231" w:rsidP="00CE1822">
            <w:pPr>
              <w:rPr>
                <w:highlight w:val="green"/>
              </w:rPr>
            </w:pPr>
            <w:r w:rsidRPr="00CE24D5">
              <w:rPr>
                <w:highlight w:val="green"/>
              </w:rPr>
              <w:t>SI</w:t>
            </w:r>
            <w:r w:rsidRPr="00CE24D5">
              <w:rPr>
                <w:highlight w:val="green"/>
              </w:rPr>
              <w:t>    NO</w:t>
            </w:r>
            <w:r w:rsidRPr="00CE24D5">
              <w:rPr>
                <w:highlight w:val="green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 mangimi sono tenuti separati dai prodotti non destinati all’alimentazione animale (es. concimi, anticrittogamici, pesticidi)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 mangimi trasformati sono tenuti separati dalle materie prime, dalle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premiscele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 xml:space="preserve"> e dagli additivi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Note: ……………………………………………………………………………………...         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 mangimi sono stoccati in locali a loro dedicati, inaccessibili agli animali, mantenuti in ordine con acceso riservato al personale autorizzato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 mangimi sfusi sono stoccati in silos o altri contenitori chiudibili a loro dedicati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Per i mangimi confezionati sono usati adeguati materiali di imballaggio o confezionamento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L’operatore fa uso di fertilizzanti organici diversi dallo stallatico  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 fertilizzanti organici sono stoccati/immagazzinati: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FC0231">
            <w:pPr>
              <w:pStyle w:val="Titolo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separatamente dai prodotti destinati all’alimentazione degli animali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in contenitori atti a evitarne la dispersione 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5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in locali non accessibili agli animali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 Il trasporto viene effettuato con mezzi idonei alla tipologia di mangime da trasportare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In caso di trasporto effettuato da un altro operatore del settore dei mangimi l’operatore ha evidenza della registrazione ai sensi del Reg.(CE) 183/05 di quest’ultimo</w:t>
            </w:r>
          </w:p>
          <w:p w:rsidR="00FC0231" w:rsidRPr="0016477F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highlight w:val="green"/>
                <w:u w:val="none"/>
              </w:rPr>
            </w:pPr>
            <w:r w:rsidRPr="0016477F">
              <w:rPr>
                <w:sz w:val="24"/>
                <w:szCs w:val="24"/>
                <w:highlight w:val="green"/>
                <w:u w:val="none"/>
              </w:rPr>
              <w:t xml:space="preserve">Le cisterne dei mezzi di trasporto sono dedicate ai mangimi (Reg. (UE) n.225/2012)                                                                             </w:t>
            </w:r>
          </w:p>
          <w:p w:rsidR="00FC0231" w:rsidRPr="0016477F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16477F">
              <w:rPr>
                <w:sz w:val="24"/>
                <w:szCs w:val="24"/>
                <w:highlight w:val="green"/>
                <w:u w:val="none"/>
              </w:rPr>
              <w:t xml:space="preserve">I serbatoi di stoccaggio sono dedicati ai mangimi (Reg. (U)E n.225/2012)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16477F">
              <w:rPr>
                <w:i/>
                <w:sz w:val="24"/>
                <w:szCs w:val="24"/>
                <w:highlight w:val="green"/>
                <w:u w:val="none"/>
              </w:rPr>
              <w:t xml:space="preserve">in caso non siano dedicati indicare la misura adottata per evitare contaminazioni pericolose del mangime                                                                           </w:t>
            </w:r>
          </w:p>
        </w:tc>
        <w:tc>
          <w:tcPr>
            <w:tcW w:w="1620" w:type="dxa"/>
          </w:tcPr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Pr="0016477F" w:rsidRDefault="00FC0231" w:rsidP="00CE1822">
            <w:pPr>
              <w:jc w:val="center"/>
              <w:rPr>
                <w:highlight w:val="green"/>
              </w:rPr>
            </w:pPr>
            <w:r w:rsidRPr="0016477F">
              <w:rPr>
                <w:highlight w:val="green"/>
              </w:rPr>
              <w:t>SI</w:t>
            </w:r>
            <w:r w:rsidRPr="0016477F">
              <w:rPr>
                <w:highlight w:val="green"/>
              </w:rPr>
              <w:t>    NO</w:t>
            </w:r>
            <w:r w:rsidRPr="0016477F">
              <w:rPr>
                <w:highlight w:val="green"/>
              </w:rPr>
              <w:t></w:t>
            </w:r>
          </w:p>
          <w:p w:rsidR="00FC0231" w:rsidRPr="0058257A" w:rsidRDefault="00FC0231" w:rsidP="00CE1822">
            <w:pPr>
              <w:jc w:val="center"/>
            </w:pPr>
            <w:r w:rsidRPr="0016477F">
              <w:rPr>
                <w:highlight w:val="green"/>
              </w:rPr>
              <w:t>SI</w:t>
            </w:r>
            <w:r w:rsidRPr="0016477F">
              <w:rPr>
                <w:highlight w:val="green"/>
              </w:rPr>
              <w:t>    NO</w:t>
            </w:r>
            <w:r w:rsidRPr="0016477F">
              <w:rPr>
                <w:highlight w:val="green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>Procedure documentate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E’presente una procedura per la qualifica dei fornitori e per il controllo delle materie prime e dei prodotti all’accettazione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L’operatore verifica che tutti gli operatori del settore dei mangimi suoi fornitori siano registrati o riconosciuti ai sensi del Reg.(CE) 183/05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E’presente una procedura per verificare periodicamente la qualità dell’acqua utilizzata nella produzione dei mangimi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E’presente una procedura per la pulizia e manutenzione degli impianti, delle attrezzature, dei contenitori, dei veicoli che trasportano mangimi in modo adeguato e periodico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Note:…………………………………………………………………… 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Le macchine che vengono in contatto con i mangimi sono asciugate ogni volta che sono state sottoposte a una pulitura a umido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>E’ presente una procedura per la lotta agli organismi nocivi e per il controllo degli animali infestanti e parassiti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Note: ……………………………………………………………………………………...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Esiste una verifica, sugli impianti e le apparecchiature di miscelazione e/o produzione, adeguata e periodica conformemente alle procedure scritte stabilite dal fabbricante per i prodotti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Se del caso esiste una procedura per il controllo delle temperature per evitare la condensa ed il deterioramento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Esiste una strategia per isolare, identificare e smaltire i rifiuti, i residui e i materiali non adatti all’alimentazione animale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Riscontri pratici…………………………………………………………………………...  ………………………………………………………………………………………….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58257A">
              <w:rPr>
                <w:rFonts w:eastAsia="EUAlbertina-Regular-Identity-H"/>
                <w:b/>
              </w:rPr>
              <w:t>Utilizzo di fertilizzanti organici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rPr>
                <w:rFonts w:eastAsia="EUAlbertina-Regular-Identity-H"/>
              </w:rPr>
              <w:t xml:space="preserve">Dopo l’ultimo utilizzo di fertilizzanti organici e ammendanti viene rispettato il periodo minimo di 21giorni di attesa, prima di permettere il pascolo e lo sfalcio di erba o altre colture erbacee usate come mangime per gli animali da allevamento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Viene mantenuta per almeno due anni registrazione di: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a) la quantità di fertilizzanti organici e ammendanti utilizzati;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b) le date e le località in cui sono stati applicati i fertilizzanti organici e ammendanti;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c) le date in cui gli animali da allevamento hanno avuto accesso al pascolo o in cui sono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     stati raccolti i prodotti destinati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>Organigramma personale e formazione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È presente e disponibile un organigramma in cui vengono definite le qualifiche e le responsabilità del personale (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funzionigramma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Il personale è numericamente sufficiente per l’attività da svolgere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Il personale è in possesso delle competenze e delle qualifiche necessarie per le proprie mansioni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Il personale è informato chiaramente per iscritto dei suoi compiti, responsabilità e competenze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E’prevista la formazione e l’aggiornamento del personale secondo piani prestabiliti e comunque ogni volta che intervenga una modifica dei prodotti, dell’attività o delle procedure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E’stata designata  una persona qualificata e responsabile della produzione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E’ stato designato un responsabile del controllo di qualità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CE24D5">
              <w:rPr>
                <w:b/>
                <w:sz w:val="24"/>
                <w:szCs w:val="24"/>
                <w:highlight w:val="green"/>
                <w:u w:val="none"/>
              </w:rPr>
              <w:t>Controllo di qualità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L’impresa ha quale parte del suo sistema di controllo, accesso ad un laboratorio dotato di personale e attrezzature adeguati </w:t>
            </w:r>
          </w:p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Interno   </w:t>
            </w:r>
            <w:r w:rsidRPr="0058257A">
              <w:rPr>
                <w:u w:val="none"/>
              </w:rPr>
              <w:t></w:t>
            </w:r>
            <w:r w:rsidRPr="0058257A">
              <w:rPr>
                <w:sz w:val="24"/>
                <w:szCs w:val="24"/>
                <w:u w:val="none"/>
              </w:rPr>
              <w:t xml:space="preserve">                             esterno convenzionato  </w:t>
            </w:r>
            <w:r w:rsidRPr="0058257A">
              <w:rPr>
                <w:u w:val="none"/>
              </w:rPr>
              <w:t></w:t>
            </w:r>
          </w:p>
          <w:p w:rsidR="00FC0231" w:rsidRPr="00AB5C24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laboratorio con prova accreditata ISO 17025 (Reg. (UE) n.225/2012)</w:t>
            </w:r>
            <w:r w:rsidRPr="00C14F60">
              <w:rPr>
                <w:highlight w:val="green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Esiste un piano di controllo di qualità scritto delle materie prime e/o dei prodotti finiti, che preveda in particolare: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le specifiche dei prodotti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il controllo dei punti critici del processo di fabbricazione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 xml:space="preserve">i procedimenti e le frequenze di campionamento, 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i metodi di analisi e la loro frequenza, </w:t>
            </w:r>
          </w:p>
          <w:p w:rsidR="00FC0231" w:rsidRDefault="00FC0231" w:rsidP="00FC0231">
            <w:pPr>
              <w:pStyle w:val="Titolo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la destinazione in caso di non conformità delle materie prime e dei prodotti finiti</w:t>
            </w:r>
          </w:p>
          <w:p w:rsidR="00FC0231" w:rsidRDefault="00FC0231" w:rsidP="00CE1822">
            <w:pPr>
              <w:autoSpaceDE w:val="0"/>
              <w:autoSpaceDN w:val="0"/>
              <w:adjustRightInd w:val="0"/>
              <w:rPr>
                <w:rFonts w:eastAsia="EUAlbertina-Bold-Identity-H"/>
                <w:bCs/>
                <w:color w:val="231F20"/>
              </w:rPr>
            </w:pPr>
          </w:p>
          <w:p w:rsidR="00FC0231" w:rsidRPr="00C14F60" w:rsidRDefault="00FC0231" w:rsidP="00CE1822">
            <w:pPr>
              <w:autoSpaceDE w:val="0"/>
              <w:autoSpaceDN w:val="0"/>
              <w:adjustRightInd w:val="0"/>
              <w:rPr>
                <w:rFonts w:eastAsia="EUAlbertina-Bold-Identity-H"/>
                <w:highlight w:val="green"/>
              </w:rPr>
            </w:pPr>
            <w:r w:rsidRPr="00C14F60">
              <w:rPr>
                <w:rFonts w:eastAsia="EUAlbertina-Bold-Identity-H"/>
                <w:highlight w:val="green"/>
              </w:rPr>
              <w:t>Il piano aziendale di campionamento e analisi è appropriato e sviluppato in base all’analisi dei pericoli</w:t>
            </w:r>
          </w:p>
          <w:p w:rsidR="00FC0231" w:rsidRPr="00C14F60" w:rsidRDefault="00FC0231" w:rsidP="00CE1822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C14F60">
              <w:rPr>
                <w:highlight w:val="green"/>
              </w:rPr>
              <w:t>Se del caso vengono considerati gli obblighi di analisi previsti dalla norma:</w:t>
            </w:r>
          </w:p>
          <w:p w:rsidR="00FC0231" w:rsidRPr="00C14F60" w:rsidRDefault="00FC0231" w:rsidP="00FC02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highlight w:val="green"/>
              </w:rPr>
            </w:pPr>
            <w:r w:rsidRPr="00C14F60">
              <w:rPr>
                <w:highlight w:val="green"/>
              </w:rPr>
              <w:t>monitoraggio per le diossine secondo quanto richiesto dalla sezione monitoraggio diossine”, allegato II, Reg. (CE) n.183/2005</w:t>
            </w:r>
          </w:p>
          <w:p w:rsidR="00FC0231" w:rsidRPr="00C14F60" w:rsidRDefault="00FC0231" w:rsidP="00FC02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highlight w:val="green"/>
              </w:rPr>
            </w:pPr>
            <w:r w:rsidRPr="00C14F60">
              <w:rPr>
                <w:highlight w:val="green"/>
              </w:rPr>
              <w:t xml:space="preserve">costituenti di origine animale vietati, </w:t>
            </w:r>
            <w:proofErr w:type="spellStart"/>
            <w:r w:rsidRPr="00C14F60">
              <w:rPr>
                <w:highlight w:val="green"/>
              </w:rPr>
              <w:t>all.IV</w:t>
            </w:r>
            <w:proofErr w:type="spellEnd"/>
            <w:r w:rsidRPr="00C14F60">
              <w:rPr>
                <w:highlight w:val="green"/>
              </w:rPr>
              <w:t xml:space="preserve"> Reg.999/2001</w:t>
            </w:r>
          </w:p>
          <w:p w:rsidR="00FC0231" w:rsidRPr="00C14F60" w:rsidRDefault="00FC0231" w:rsidP="00FC02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highlight w:val="green"/>
              </w:rPr>
            </w:pPr>
            <w:r w:rsidRPr="00C14F60">
              <w:rPr>
                <w:highlight w:val="green"/>
              </w:rPr>
              <w:t>controlli analitici previsti dal DM.16/11/93 (mangimi medicati)</w:t>
            </w:r>
          </w:p>
          <w:p w:rsidR="00FC0231" w:rsidRPr="00C14F60" w:rsidRDefault="00FC0231" w:rsidP="00CE1822">
            <w:pPr>
              <w:autoSpaceDE w:val="0"/>
              <w:autoSpaceDN w:val="0"/>
              <w:adjustRightInd w:val="0"/>
              <w:ind w:left="360"/>
              <w:rPr>
                <w:highlight w:val="green"/>
              </w:rPr>
            </w:pPr>
          </w:p>
          <w:p w:rsidR="00FC0231" w:rsidRPr="00C14F60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 xml:space="preserve">Le materie prime di cui al punto 5 della sezione “monitoraggio diossine”, allegato II, Reg. (CE) n.183/2005 sono accompagnate da prove analitiche attestanti quanto ivi richiesto                      </w:t>
            </w:r>
          </w:p>
          <w:p w:rsidR="00FC0231" w:rsidRPr="00C14F60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Vi è evidenza che il laboratorio addetto ai controlli nell’ambito dei monitoraggi obbligatori</w:t>
            </w:r>
            <w:r w:rsidRPr="00C14F60">
              <w:rPr>
                <w:b/>
                <w:sz w:val="24"/>
                <w:szCs w:val="24"/>
                <w:highlight w:val="green"/>
                <w:u w:val="none"/>
              </w:rPr>
              <w:t xml:space="preserve"> per le diossine, </w:t>
            </w:r>
            <w:r w:rsidRPr="00C14F60">
              <w:rPr>
                <w:sz w:val="24"/>
                <w:szCs w:val="24"/>
                <w:highlight w:val="green"/>
                <w:u w:val="none"/>
              </w:rPr>
              <w:t xml:space="preserve">sia stato informato dall’OSM in relazione alla comunicazione all’Autorità competente di ogni non conformità per le diossine  riscontrata in autocontrollo                                                                                                          </w:t>
            </w:r>
          </w:p>
          <w:p w:rsidR="00FC0231" w:rsidRPr="00C14F60" w:rsidRDefault="00FC0231" w:rsidP="00CE1822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  <w:p w:rsidR="00FC0231" w:rsidRPr="00C14F60" w:rsidRDefault="00FC0231" w:rsidP="00CE1822">
            <w:pPr>
              <w:autoSpaceDE w:val="0"/>
              <w:autoSpaceDN w:val="0"/>
              <w:adjustRightInd w:val="0"/>
              <w:rPr>
                <w:rFonts w:eastAsia="EUAlbertina-Bold-Identity-H"/>
                <w:bCs/>
                <w:color w:val="231F20"/>
                <w:highlight w:val="green"/>
              </w:rPr>
            </w:pPr>
            <w:r w:rsidRPr="00C14F60">
              <w:rPr>
                <w:rFonts w:eastAsia="EUAlbertina-Bold-Identity-H"/>
                <w:highlight w:val="green"/>
              </w:rPr>
              <w:t>Il piano aziendale di campionamento e analisi è</w:t>
            </w:r>
            <w:r w:rsidRPr="00C14F60">
              <w:rPr>
                <w:highlight w:val="green"/>
              </w:rPr>
              <w:t xml:space="preserve"> regolarmente applicato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lastRenderedPageBreak/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lastRenderedPageBreak/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</w:p>
          <w:p w:rsidR="00FC0231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>Esistono controlli finalizzati a dimostrare l’efficacia dell’attività di miscelazione in relazione all’omogeneità dei prodotti finiti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E’presente e a disposizione dell’autorità competente la documentazione sulle materie prime utilizzate nel prodotto finale per un periodo commisurato alla vita commerciale dei prodotti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Esiste una procedura predeterminata per il prelievo e la conservazione dei campioni degli ingredienti e dei prodotti finiti, di ciascun lotto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 I campioni sono sigillati, etichettati e conservati in condizioni ottimali per un periodo commisurato alla vita commerciale dei prodotti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Nel caso di mangimi per animali non destinati alla produzione alimentare sono  conservati almeno campioni del prodotto finito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Vengono conservati i risultati dei controlli pertinenti al fine di consentire di rintracciare la storia della fabbricazione di ciascuna partita di prodotto messa in circolazione e di stabilire le responsabilità in caso di reclamo.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</w:p>
          <w:p w:rsidR="00FC0231" w:rsidRPr="00CE24D5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highlight w:val="green"/>
                <w:u w:val="none"/>
              </w:rPr>
            </w:pPr>
            <w:r w:rsidRPr="00CE24D5">
              <w:rPr>
                <w:b/>
                <w:sz w:val="24"/>
                <w:szCs w:val="24"/>
                <w:u w:val="none"/>
              </w:rPr>
              <w:t xml:space="preserve">Piano di autocontrollo e </w:t>
            </w:r>
            <w:r>
              <w:rPr>
                <w:b/>
                <w:sz w:val="24"/>
                <w:szCs w:val="24"/>
                <w:u w:val="none"/>
              </w:rPr>
              <w:t>HACCP</w:t>
            </w:r>
          </w:p>
        </w:tc>
        <w:tc>
          <w:tcPr>
            <w:tcW w:w="1620" w:type="dxa"/>
          </w:tcPr>
          <w:p w:rsidR="00FC0231" w:rsidRPr="00CE24D5" w:rsidRDefault="00FC0231" w:rsidP="00CE1822">
            <w:pPr>
              <w:jc w:val="center"/>
              <w:rPr>
                <w:highlight w:val="green"/>
              </w:rPr>
            </w:pPr>
          </w:p>
          <w:p w:rsidR="00FC0231" w:rsidRPr="00CE24D5" w:rsidRDefault="00FC0231" w:rsidP="00CE1822">
            <w:pPr>
              <w:rPr>
                <w:highlight w:val="green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 xml:space="preserve">L’operatore pone in atto, gestisce e mantiene una procedura scritta permanente o procedure basate sui principi </w:t>
            </w:r>
            <w:r>
              <w:rPr>
                <w:rFonts w:eastAsia="EUAlbertina-Regular-Identity-H"/>
                <w:color w:val="231F20"/>
              </w:rPr>
              <w:t>HACCP</w:t>
            </w:r>
            <w:r w:rsidRPr="0058257A">
              <w:rPr>
                <w:rFonts w:eastAsia="EUAlbertina-Regular-Identity-H"/>
                <w:color w:val="231F20"/>
              </w:rPr>
              <w:t>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In tale procedura:</w:t>
            </w:r>
          </w:p>
          <w:p w:rsidR="00FC0231" w:rsidRPr="0058257A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è identificato ogni pericolo che deve essere prevenuto, eliminato o ridotto a livelli accettabili, in relazione al tipo di mangime e/o alla fase del processo;</w:t>
            </w:r>
          </w:p>
          <w:p w:rsidR="00FC0231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i pericoli vengono divisi in fisici, chimici e biologici;</w:t>
            </w:r>
          </w:p>
          <w:p w:rsidR="00FC0231" w:rsidRPr="00747310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  <w:highlight w:val="green"/>
              </w:rPr>
            </w:pPr>
            <w:r>
              <w:rPr>
                <w:rFonts w:eastAsia="EUAlbertina-Regular-Identity-H"/>
                <w:color w:val="231F20"/>
                <w:highlight w:val="green"/>
              </w:rPr>
              <w:t>l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>’analisi dei pericoli è adeguata al processo e ai prodotti</w:t>
            </w:r>
          </w:p>
          <w:p w:rsidR="00FC0231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sono identificati i CCP nella fase o nelle fasi in cui il controllo stesso è essenziale per prevenire o eliminare un pericolo o per ridurlo a livelli accettabili;</w:t>
            </w:r>
          </w:p>
          <w:p w:rsidR="00FC0231" w:rsidRPr="00747310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  <w:highlight w:val="green"/>
              </w:rPr>
            </w:pPr>
            <w:r>
              <w:rPr>
                <w:rFonts w:eastAsia="EUAlbertina-Regular-Identity-H"/>
                <w:color w:val="231F20"/>
                <w:highlight w:val="green"/>
              </w:rPr>
              <w:lastRenderedPageBreak/>
              <w:t>l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>a scelta dei CCP è idonea allo scopo</w:t>
            </w:r>
          </w:p>
          <w:p w:rsidR="00FC0231" w:rsidRPr="0058257A" w:rsidRDefault="00FC0231" w:rsidP="00FC0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sono stabiliti nei CCP, i limiti critici che discriminano l’accettabile e l’inaccettabile ai fini della prevenzione, eliminazione o riduzione dei pericoli identificati;</w:t>
            </w:r>
          </w:p>
          <w:p w:rsidR="00FC0231" w:rsidRPr="0058257A" w:rsidRDefault="00FC0231" w:rsidP="00FC02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EUAlbertina-Regular-Identity-H"/>
                <w:i/>
                <w:color w:val="231F20"/>
              </w:rPr>
            </w:pPr>
            <w:r w:rsidRPr="0058257A">
              <w:rPr>
                <w:rFonts w:eastAsia="EUAlbertina-Regular-Identity-H"/>
                <w:i/>
                <w:color w:val="231F20"/>
                <w:sz w:val="22"/>
                <w:szCs w:val="22"/>
              </w:rPr>
              <w:t>stabiliti da requisiti normativi</w:t>
            </w:r>
          </w:p>
          <w:p w:rsidR="00FC0231" w:rsidRPr="00747310" w:rsidRDefault="00FC0231" w:rsidP="00FC023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i/>
                <w:color w:val="231F20"/>
                <w:sz w:val="22"/>
                <w:szCs w:val="22"/>
              </w:rPr>
              <w:t>stabiliti da specifiche dell’operatore</w:t>
            </w:r>
          </w:p>
          <w:p w:rsidR="00FC0231" w:rsidRPr="00747310" w:rsidRDefault="00FC0231" w:rsidP="00FC02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  <w:highlight w:val="green"/>
              </w:rPr>
            </w:pPr>
            <w:r>
              <w:rPr>
                <w:rFonts w:eastAsia="EUAlbertina-Regular-Identity-H"/>
                <w:color w:val="231F20"/>
                <w:highlight w:val="green"/>
              </w:rPr>
              <w:t>l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 xml:space="preserve">a scelta dei </w:t>
            </w:r>
            <w:r>
              <w:rPr>
                <w:rFonts w:eastAsia="EUAlbertina-Regular-Identity-H"/>
                <w:color w:val="231F20"/>
                <w:highlight w:val="green"/>
              </w:rPr>
              <w:t>limiti critici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 xml:space="preserve"> è idonea allo scopo</w:t>
            </w:r>
          </w:p>
          <w:p w:rsidR="00FC0231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sono stabilite ed applicate nei CCP procedure di monitoraggio efficaci;</w:t>
            </w:r>
          </w:p>
          <w:p w:rsidR="00FC0231" w:rsidRPr="0058257A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sono stabilite le azioni correttive da intraprendere nel caso in cui risulti dal monitoraggio che un determinato CCP non è più sotto controllo;</w:t>
            </w:r>
          </w:p>
          <w:p w:rsidR="00FC0231" w:rsidRPr="0058257A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 w:rsidRPr="0058257A">
              <w:rPr>
                <w:rFonts w:eastAsia="EUAlbertina-Regular-Identity-H"/>
                <w:color w:val="231F20"/>
              </w:rPr>
              <w:t>sono stabilite le procedure di verifica da svolgersi regolarmente al fine di accertare l’efficacia e la completezza del controllo effettuato nei CCP;</w:t>
            </w:r>
          </w:p>
          <w:p w:rsidR="00FC0231" w:rsidRPr="009E0395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  <w:highlight w:val="green"/>
              </w:rPr>
            </w:pPr>
            <w:r w:rsidRPr="009E0395">
              <w:rPr>
                <w:rFonts w:eastAsia="EUAlbertina-Regular-Identity-H"/>
                <w:color w:val="231F20"/>
                <w:highlight w:val="green"/>
              </w:rPr>
              <w:t>è stabilito un sistema di documentazione delle procedure sviluppate e di registrazione delle misure messe in atto, commisurata all’attività;</w:t>
            </w:r>
          </w:p>
          <w:p w:rsidR="00FC0231" w:rsidRPr="0058257A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Regular-Identity-H"/>
                <w:color w:val="231F20"/>
              </w:rPr>
            </w:pPr>
            <w:r>
              <w:rPr>
                <w:rFonts w:eastAsia="EUAlbertina-Regular-Identity-H"/>
                <w:color w:val="231F20"/>
                <w:highlight w:val="green"/>
              </w:rPr>
              <w:t>l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>a documentazione è presente</w:t>
            </w:r>
            <w:r>
              <w:rPr>
                <w:rFonts w:eastAsia="EUAlbertina-Regular-Identity-H"/>
                <w:color w:val="231F20"/>
                <w:highlight w:val="green"/>
              </w:rPr>
              <w:t>, reperibile</w:t>
            </w:r>
            <w:r w:rsidRPr="00747310">
              <w:rPr>
                <w:rFonts w:eastAsia="EUAlbertina-Regular-Identity-H"/>
                <w:color w:val="231F20"/>
                <w:highlight w:val="green"/>
              </w:rPr>
              <w:t xml:space="preserve"> e </w:t>
            </w:r>
            <w:r w:rsidRPr="009E0395">
              <w:rPr>
                <w:rFonts w:eastAsia="EUAlbertina-Regular-Identity-H"/>
                <w:color w:val="231F20"/>
                <w:highlight w:val="green"/>
              </w:rPr>
              <w:t>correttamente gestita</w:t>
            </w:r>
            <w:r>
              <w:rPr>
                <w:rFonts w:eastAsia="EUAlbertina-Regular-Identity-H"/>
                <w:color w:val="231F20"/>
              </w:rPr>
              <w:t>;</w:t>
            </w:r>
          </w:p>
          <w:p w:rsidR="00FC0231" w:rsidRPr="00CE24D5" w:rsidRDefault="00FC0231" w:rsidP="00FC02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EUAlbertina-Bold-Identity-H"/>
                <w:b/>
                <w:bCs/>
                <w:color w:val="231F20"/>
              </w:rPr>
            </w:pPr>
            <w:r>
              <w:rPr>
                <w:rFonts w:eastAsia="EUAlbertina-Regular-Identity-H"/>
              </w:rPr>
              <w:t>l</w:t>
            </w:r>
            <w:r w:rsidRPr="0058257A">
              <w:rPr>
                <w:rFonts w:eastAsia="EUAlbertina-Regular-Identity-H"/>
              </w:rPr>
              <w:t>a procedura viene mantenuta aggiornata e comunque viene sottoposta a revisione e vengono apportati i necessari cambiamenti ogniqualvolta si apporti una modifica nel prodotto, nel processo o in una qualsiasi fase della produzione, della trasformazione, dello stoccaggio e della distribuzione;</w:t>
            </w:r>
          </w:p>
          <w:p w:rsidR="00FC0231" w:rsidRPr="007B5040" w:rsidRDefault="00FC0231" w:rsidP="00CE1822">
            <w:pPr>
              <w:autoSpaceDE w:val="0"/>
              <w:autoSpaceDN w:val="0"/>
              <w:adjustRightInd w:val="0"/>
              <w:ind w:left="360"/>
              <w:rPr>
                <w:rFonts w:eastAsia="EUAlbertina-Bold-Identity-H"/>
                <w:b/>
                <w:bCs/>
                <w:color w:val="231F20"/>
              </w:rPr>
            </w:pPr>
            <w:r w:rsidRPr="0058257A">
              <w:rPr>
                <w:rFonts w:eastAsia="EUAlbertina-Bold-Identity-H"/>
                <w:bCs/>
                <w:color w:val="231F20"/>
              </w:rPr>
              <w:t>Data ultima revisione…</w:t>
            </w:r>
            <w:r>
              <w:rPr>
                <w:rFonts w:eastAsia="EUAlbertina-Bold-Identity-H"/>
                <w:bCs/>
                <w:color w:val="231F20"/>
              </w:rPr>
              <w:t>.…………………………</w:t>
            </w:r>
            <w:r w:rsidRPr="0058257A">
              <w:rPr>
                <w:rFonts w:eastAsia="EUAlbertina-Bold-Identity-H"/>
                <w:bCs/>
                <w:color w:val="231F20"/>
              </w:rPr>
              <w:t>………………………………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ind w:left="720"/>
              <w:rPr>
                <w:rFonts w:eastAsia="EUAlbertina-Bold-Identity-H"/>
                <w:bCs/>
                <w:color w:val="231F20"/>
              </w:rPr>
            </w:pP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lastRenderedPageBreak/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lastRenderedPageBreak/>
              <w:t>Rintracciabilità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L’operatore detiene e aggiorna un registro con i dati necessari a identificare: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l’operatore che gli abbia fornito un mangime, o qualsiasi sostanza destinata o atta a entrare a far parte di un mangime;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le imprese alle quali ha fornito i propri prodotti. 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Le informazioni al riguardo sono messe a disposizione delle autorità competenti che le richiedano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>Documenti relativi  alla rintracciabilità per i produttori di additivi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natura e quantità degli additivi prodotti, rispettive date di fabbricazione e, se del caso, numero della partita o della porzione specifica di produzione, in caso di fabbricazione continua</w:t>
            </w:r>
            <w:r w:rsidRPr="0058257A">
              <w:rPr>
                <w:b/>
                <w:bCs/>
                <w:sz w:val="24"/>
                <w:szCs w:val="24"/>
                <w:u w:val="none"/>
              </w:rPr>
              <w:t xml:space="preserve">; </w:t>
            </w:r>
          </w:p>
          <w:p w:rsidR="00FC0231" w:rsidRPr="0058257A" w:rsidRDefault="00FC0231" w:rsidP="00FC0231">
            <w:pPr>
              <w:pStyle w:val="Titol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nome e indirizzo dello stabilimento cui gli additivi sono stati consegnati, natura e quantità degli additivi consegnati e, se del caso, numero della partita o della porzione specifica di produzione, in caso di fabbricazione continua.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 xml:space="preserve">Documenti relativi  alla rintracciabilità per i produttori di </w:t>
            </w:r>
            <w:proofErr w:type="spellStart"/>
            <w:r w:rsidRPr="0058257A">
              <w:rPr>
                <w:b/>
                <w:sz w:val="24"/>
                <w:szCs w:val="24"/>
                <w:u w:val="none"/>
              </w:rPr>
              <w:t>premiscele</w:t>
            </w:r>
            <w:proofErr w:type="spellEnd"/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nome e indirizzo dei fabbricanti o fornitori di additivi, natura e quantità degli additivi usati e, se del caso, numero della partita o della porzione specifica di produzione, in caso di fabbricazione continua.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data di fabbricazione della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>, e numero della partita se del caso.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nome e indirizzo dello stabilimento cui la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 xml:space="preserve"> è consegnata , data di consegna, natura e quantità della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 xml:space="preserve"> consegnata, e numero della partita se del caso.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 xml:space="preserve">Documenti relativi  alla rintracciabilità per i produttori di mangimi </w:t>
            </w:r>
            <w:r w:rsidRPr="0058257A">
              <w:rPr>
                <w:b/>
                <w:sz w:val="24"/>
                <w:szCs w:val="24"/>
                <w:u w:val="none"/>
              </w:rPr>
              <w:lastRenderedPageBreak/>
              <w:t xml:space="preserve">composti/materie prime per mangimi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 xml:space="preserve">nome e indirizzo dei fabbricanti o dei fornitori dell’additivo/della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 xml:space="preserve">, natura e quantità della </w:t>
            </w:r>
            <w:proofErr w:type="spellStart"/>
            <w:r w:rsidRPr="0058257A">
              <w:rPr>
                <w:sz w:val="24"/>
                <w:szCs w:val="24"/>
                <w:u w:val="none"/>
              </w:rPr>
              <w:t>premiscela</w:t>
            </w:r>
            <w:proofErr w:type="spellEnd"/>
            <w:r w:rsidRPr="0058257A">
              <w:rPr>
                <w:sz w:val="24"/>
                <w:szCs w:val="24"/>
                <w:u w:val="none"/>
              </w:rPr>
              <w:t xml:space="preserve">  usata, con numero di partita se del caso 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nome e indirizzo dei fornitori delle materie prime per mangimi e dei mangimi complementari e data di consegna.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tipo, quantità e formulazione del mangime composto.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8640" w:type="dxa"/>
          </w:tcPr>
          <w:p w:rsidR="00FC0231" w:rsidRPr="0058257A" w:rsidRDefault="00FC0231" w:rsidP="00FC0231">
            <w:pPr>
              <w:pStyle w:val="Titol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natura e quantità delle materie prime per mangimi o dei mangimi composti fabbricati/consegnati, unitamente alla data di fabbricazione e al nome e indirizzo dell’acquirente (ad esempio agricoltore, altri operatori nel settore dei mangimi).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Note: ……………………………………………………………………………………... 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b/>
                <w:sz w:val="24"/>
                <w:szCs w:val="24"/>
                <w:u w:val="none"/>
              </w:rPr>
              <w:t>Reclami e ritiro dei prodotti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Esiste un sistema di registrazione e trattamento dei reclami 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Esiste un sistema scritto per il rapido ritiro dei prodotti immessi nel circuito di distribuzione che definisca procedure scritte sulla destinazione dei prodotti ritirati e registrazione delle non conformità.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b/>
                <w:sz w:val="24"/>
                <w:szCs w:val="24"/>
                <w:highlight w:val="green"/>
                <w:u w:val="none"/>
              </w:rPr>
              <w:t xml:space="preserve">Etichettatura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L’indicazione del tipo di mangime è conforme all’art.15 a) del reg.767/09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Le indicazioni obbligatorie di etichettatura sono presenti e complete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L’etichettatura dei mangimi non è tale da trarre in inganno l’utilizzatore (</w:t>
            </w:r>
            <w:proofErr w:type="spellStart"/>
            <w:r w:rsidRPr="00C14F60">
              <w:rPr>
                <w:sz w:val="24"/>
                <w:szCs w:val="24"/>
                <w:highlight w:val="green"/>
                <w:u w:val="none"/>
              </w:rPr>
              <w:t>claims</w:t>
            </w:r>
            <w:proofErr w:type="spellEnd"/>
            <w:r w:rsidRPr="00C14F60">
              <w:rPr>
                <w:sz w:val="24"/>
                <w:szCs w:val="24"/>
                <w:highlight w:val="green"/>
                <w:u w:val="none"/>
              </w:rPr>
              <w:t xml:space="preserve"> impropri, </w:t>
            </w:r>
            <w:proofErr w:type="spellStart"/>
            <w:r w:rsidRPr="00C14F60">
              <w:rPr>
                <w:sz w:val="24"/>
                <w:szCs w:val="24"/>
                <w:highlight w:val="green"/>
                <w:u w:val="none"/>
              </w:rPr>
              <w:t>claims</w:t>
            </w:r>
            <w:proofErr w:type="spellEnd"/>
            <w:r w:rsidRPr="00C14F60">
              <w:rPr>
                <w:sz w:val="24"/>
                <w:szCs w:val="24"/>
                <w:highlight w:val="green"/>
                <w:u w:val="none"/>
              </w:rPr>
              <w:t xml:space="preserve"> farmacologici </w:t>
            </w:r>
            <w:proofErr w:type="spellStart"/>
            <w:r w:rsidRPr="00C14F60">
              <w:rPr>
                <w:sz w:val="24"/>
                <w:szCs w:val="24"/>
                <w:highlight w:val="green"/>
                <w:u w:val="none"/>
              </w:rPr>
              <w:t>etc…</w:t>
            </w:r>
            <w:proofErr w:type="spellEnd"/>
            <w:r w:rsidRPr="00C14F60">
              <w:rPr>
                <w:sz w:val="24"/>
                <w:szCs w:val="24"/>
                <w:highlight w:val="green"/>
                <w:u w:val="none"/>
              </w:rPr>
              <w:t>)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SI</w:t>
            </w:r>
            <w:r w:rsidRPr="0058257A">
              <w:rPr>
                <w:sz w:val="24"/>
                <w:szCs w:val="24"/>
                <w:u w:val="none"/>
              </w:rPr>
              <w:t>    NO</w:t>
            </w:r>
            <w:r w:rsidRPr="0058257A">
              <w:rPr>
                <w:sz w:val="24"/>
                <w:szCs w:val="24"/>
                <w:u w:val="none"/>
              </w:rPr>
              <w:t>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rPr>
                <w:sz w:val="24"/>
                <w:szCs w:val="24"/>
                <w:u w:val="none"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 xml:space="preserve">L’indicazione degli additivi nei mangimi composti riporta la denominazione dell’additivo così come previsto nel regolamento autorizzativo dell’additivo o nel registro comunitario </w:t>
            </w:r>
          </w:p>
        </w:tc>
        <w:tc>
          <w:tcPr>
            <w:tcW w:w="162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highlight w:val="green"/>
                <w:u w:val="none"/>
              </w:rPr>
            </w:pPr>
            <w:r w:rsidRPr="00C14F60">
              <w:rPr>
                <w:sz w:val="24"/>
                <w:szCs w:val="24"/>
                <w:highlight w:val="green"/>
                <w:u w:val="none"/>
              </w:rPr>
              <w:t>I prodotti ad uso tecnico non destinati all’alimentazione animale sono chiaramente identificati e distinguibili da quelli destinati ai mangimi</w:t>
            </w:r>
          </w:p>
        </w:tc>
        <w:tc>
          <w:tcPr>
            <w:tcW w:w="1620" w:type="dxa"/>
          </w:tcPr>
          <w:p w:rsidR="00FC0231" w:rsidRPr="00EC014E" w:rsidRDefault="00FC0231" w:rsidP="00CE1822">
            <w:pPr>
              <w:jc w:val="center"/>
              <w:rPr>
                <w:highlight w:val="green"/>
              </w:rPr>
            </w:pPr>
            <w:r w:rsidRPr="00EC014E">
              <w:rPr>
                <w:highlight w:val="green"/>
              </w:rPr>
              <w:t>SI</w:t>
            </w:r>
            <w:r w:rsidRPr="00EC014E">
              <w:rPr>
                <w:highlight w:val="green"/>
              </w:rPr>
              <w:t>  NO</w:t>
            </w:r>
            <w:r w:rsidRPr="00EC014E">
              <w:rPr>
                <w:highlight w:val="green"/>
              </w:rPr>
              <w:t></w:t>
            </w:r>
          </w:p>
        </w:tc>
      </w:tr>
    </w:tbl>
    <w:p w:rsidR="00FC0231" w:rsidRDefault="00FC0231" w:rsidP="00FC0231">
      <w:pPr>
        <w:autoSpaceDE w:val="0"/>
        <w:autoSpaceDN w:val="0"/>
        <w:adjustRightInd w:val="0"/>
        <w:jc w:val="both"/>
        <w:rPr>
          <w:rFonts w:eastAsia="EUAlbertina-Regular-Identity-H"/>
          <w:b/>
          <w:bCs/>
        </w:rPr>
      </w:pPr>
    </w:p>
    <w:p w:rsidR="00FC0231" w:rsidRDefault="00FC0231" w:rsidP="00FC0231">
      <w:pPr>
        <w:autoSpaceDE w:val="0"/>
        <w:autoSpaceDN w:val="0"/>
        <w:adjustRightInd w:val="0"/>
        <w:jc w:val="both"/>
        <w:rPr>
          <w:rFonts w:eastAsia="EUAlbertina-Regular-Identity-H"/>
          <w:b/>
          <w:bCs/>
        </w:rPr>
      </w:pPr>
    </w:p>
    <w:p w:rsidR="00FC0231" w:rsidRPr="0058257A" w:rsidRDefault="00FC0231" w:rsidP="00FC0231">
      <w:pPr>
        <w:autoSpaceDE w:val="0"/>
        <w:autoSpaceDN w:val="0"/>
        <w:adjustRightInd w:val="0"/>
        <w:jc w:val="both"/>
        <w:rPr>
          <w:rFonts w:eastAsia="EUAlbertina-Regular-Identity-H"/>
          <w:b/>
          <w:bCs/>
        </w:rPr>
      </w:pPr>
      <w:r w:rsidRPr="0058257A">
        <w:rPr>
          <w:rFonts w:eastAsia="EUAlbertina-Regular-Identity-H"/>
          <w:b/>
          <w:bCs/>
        </w:rPr>
        <w:t>Attività 8- produzione di alimenti per animali da compagnia</w:t>
      </w:r>
    </w:p>
    <w:p w:rsidR="00FC0231" w:rsidRPr="0058257A" w:rsidRDefault="00FC0231" w:rsidP="00FC0231">
      <w:pPr>
        <w:autoSpaceDE w:val="0"/>
        <w:autoSpaceDN w:val="0"/>
        <w:adjustRightInd w:val="0"/>
        <w:jc w:val="both"/>
        <w:rPr>
          <w:rFonts w:eastAsia="EUAlbertina-Regular-Identity-H"/>
          <w:b/>
          <w:bCs/>
        </w:rPr>
      </w:pPr>
    </w:p>
    <w:p w:rsidR="00FC0231" w:rsidRPr="0058257A" w:rsidRDefault="00FC0231" w:rsidP="00FC0231">
      <w:pPr>
        <w:autoSpaceDE w:val="0"/>
        <w:autoSpaceDN w:val="0"/>
        <w:adjustRightInd w:val="0"/>
        <w:jc w:val="both"/>
        <w:rPr>
          <w:rFonts w:eastAsia="EUAlbertina-Regular-Identity-H"/>
          <w:b/>
          <w:bCs/>
          <w:iCs/>
          <w:caps/>
        </w:rPr>
      </w:pPr>
    </w:p>
    <w:tbl>
      <w:tblPr>
        <w:tblW w:w="100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440"/>
      </w:tblGrid>
      <w:tr w:rsidR="00FC0231" w:rsidRPr="0058257A" w:rsidTr="00CE1822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257A">
              <w:rPr>
                <w:b/>
                <w:bCs/>
              </w:rPr>
              <w:t xml:space="preserve">Requisiti 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640" w:type="dxa"/>
          </w:tcPr>
          <w:p w:rsidR="00FC0231" w:rsidRPr="00E7063B" w:rsidRDefault="00FC0231" w:rsidP="00CE1822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7063B">
              <w:rPr>
                <w:highlight w:val="green"/>
              </w:rPr>
              <w:t xml:space="preserve">Rispondenza dei locali e delle attrezzature ai requisiti del </w:t>
            </w:r>
            <w:proofErr w:type="spellStart"/>
            <w:r w:rsidRPr="00E7063B">
              <w:rPr>
                <w:highlight w:val="green"/>
              </w:rPr>
              <w:t>D.Lvo</w:t>
            </w:r>
            <w:proofErr w:type="spellEnd"/>
            <w:r w:rsidRPr="00E7063B">
              <w:rPr>
                <w:highlight w:val="green"/>
              </w:rPr>
              <w:t xml:space="preserve"> 81/2008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I locali adibiti alla trasformazione di sottoprodotti di origine animale sono accessibili solo a persone autorizzate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Esiste una zona «pulita» e una zona «sporca», adeguatamente separate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Esiste nella zona sporca una parte coperta per la ricezione dei sottoprodotti di origine animale, questa è costruita in modo da poter essere facilmente pulita e disinfettata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I pavimenti sono costruiti in modo da facilitare l'evacuazione dei liquidi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Presenza di adeguati servizi igienici, spogliatoi per il personale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lastRenderedPageBreak/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lastRenderedPageBreak/>
              <w:t>L'impianto di trasformazione dispone di una capacità di produzione di acqua calda e di vapore sufficiente per la trasformazione dei sottoprodotti di origine animale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Tutte le installazioni utilizzate per la trasformazione dei sottoprodotti di origine animale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 qualora sia richiesto un trattamento termico sono fornite di: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- dispositivi di misurazione per controllare la temperatura nel tempo e, se necessario, la pressione nei punti critici   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- dispositivi di registrazione continua dei risultati delle misurazioni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- un adeguato sistema di sicurezza che impedisca l'abbassamento della temperatura ad un livello insufficiente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b/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Esiste una netta separazione tra la zona dell'impianto in cui i materiali destinati alla trasformazione vengono scaricati e le zone riservate alla trasformazione del prodotto e al magazzinaggio del prodotto trasformato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L'impianto di trasformazione è munito di installazioni appropriate per la pulizia e la disinfezione dei contenitori o recipienti utilizzati per i sottoprodotti di origine animale, nonché dei veicoli usati per il trasporto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Bold-Identity-H"/>
                <w:b/>
                <w:bCs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Esistono adeguate strutture per la disinfezione delle ruote dei veicoli in uscita dalla zona sporca dell'impianto di trasformazione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Esiste un sistema di eliminazione delle acque reflue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L'impianto di trasformazione è dotato di un laboratorio proprio o ricorre ai servizi di un laboratorio esterno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  <w:b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Gli impianti di trasformazione di categoria 3 sono dotati di: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- un'installazione che consenta di rilevare la presenza di corpi estranei quali materiale da imballaggio, pezzi di metallo, ecc. nei sottoprodotti di origine animale;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- un locale sufficientemente attrezzato, che possa essere chiuso a chiave, riservato all'uso esclusivo del servizio d'ispezione, se la quantità di prodotti trattati renda necessaria la presenza regolare o permanente dell'autorità competente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257A">
              <w:rPr>
                <w:b/>
                <w:bCs/>
              </w:rPr>
              <w:t>Requisiti generali d'igiene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I sottoprodotti di origine animale sono trasformati il più presto possibile dopo il loro arrivo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Prima della trasformazione, i sottoprodotti di origine animale sono sottoposti a controllo per verificare la presenza di corpi estranei che, se presenti, devono essere rimossi immediatamente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Fino al momento della trasformazione, sono adeguatamente immagazzinati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esiste una zona apposita dove i contenitori, i recipienti e i veicoli utilizzati per il trasporto di materiale non trasformato sono puliti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lastRenderedPageBreak/>
              <w:t xml:space="preserve">Il personale addetto alle operazioni eseguite nella zona sporca entra nella zona pulita dopo aver cambiato abiti da lavoro e calzature o disinfettato questi ultimi.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Le attrezzature ed utensili sono portati dalla zona sporca a quella pulita solo dopo essere stati  puliti e disinfettati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 xml:space="preserve"> </w:t>
            </w: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Le acque reflue provenienti dalla zona sporca sono trattate in modo da garantire che non rimangano agenti patogeni</w:t>
            </w:r>
          </w:p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0" w:type="dxa"/>
          </w:tcPr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 xml:space="preserve">Esiste un  programma documentato di lotta contro uccelli, roditori, insetti o altri parassiti </w:t>
            </w:r>
          </w:p>
          <w:p w:rsidR="00FC0231" w:rsidRPr="0058257A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58257A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Esistono documentate procedure di pulizia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Sono effettuate e documentate le ispezioni dell'ambiente e delle attrezzature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Bold-Identity-H"/>
                <w:b/>
                <w:bCs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 xml:space="preserve">VENGONO PRELEVATI campioni del prodotto finito e di ciascuna partita di prodotto fabbricato e immesso sul mercato o di ciascuna porzione specifica di produzione (in caso di produzione continua) vanno prelevati in quantità sufficiente secondo una procedura predeterminata dal fabbricante e sono conservati per assicurare la rintracciabilità, sigillati ed etichettati per agevolarne l'identificazione; essi sono conservati in condizioni tali da escludere un cambiamento anomalo nella composizione del campione o una sua adulterazione.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 xml:space="preserve">Note: ……………………………………………………………………………………...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 xml:space="preserve">Tali campioni sono tenuti a disposizione delle autorità competenti almeno per un periodo appropriato a seconda dell'uso per il quale i mangimi sono immessi sul mercato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 xml:space="preserve">Note: ……………………………………………………………………………………...                                         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257A">
              <w:rPr>
                <w:b/>
                <w:bCs/>
              </w:rPr>
              <w:t>Metodi di trasformazione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Per ciascuno dei metodi di trasformazione riconosciuti sono identificati i punti critici di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controllo che determinano l'intensità dei trattamenti termici applicati all'atto della trasformazione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rFonts w:eastAsia="EUAlbertina-Regular-Identity-H"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rPr>
                <w:b/>
                <w:bCs/>
              </w:rPr>
              <w:t>Prodotti trasformati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I campioni dei prodotti finali prelevati nel corso o al termine dell'immagazzinamento presso l'impianto di trasformazione rispettano le seguenti norme: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salmonella: assenza in 25 g: n = 5, c =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58257A">
                <w:t>0, m</w:t>
              </w:r>
            </w:smartTag>
            <w:r w:rsidRPr="0058257A">
              <w:t xml:space="preserve"> = </w:t>
            </w:r>
            <w:smartTag w:uri="urn:schemas-microsoft-com:office:smarttags" w:element="metricconverter">
              <w:smartTagPr>
                <w:attr w:name="ProductID" w:val="0, m"/>
              </w:smartTagPr>
              <w:r w:rsidRPr="0058257A">
                <w:t>0, M</w:t>
              </w:r>
            </w:smartTag>
            <w:r w:rsidRPr="0058257A">
              <w:t xml:space="preserve"> = 0         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proofErr w:type="spellStart"/>
            <w:r w:rsidRPr="0058257A">
              <w:t>enterobacteriaceae</w:t>
            </w:r>
            <w:proofErr w:type="spellEnd"/>
            <w:r w:rsidRPr="0058257A">
              <w:t xml:space="preserve">: n = 5, c = </w:t>
            </w:r>
            <w:smartTag w:uri="urn:schemas-microsoft-com:office:smarttags" w:element="metricconverter">
              <w:smartTagPr>
                <w:attr w:name="ProductID" w:val="2, m"/>
              </w:smartTagPr>
              <w:r w:rsidRPr="0058257A">
                <w:t>2, m</w:t>
              </w:r>
            </w:smartTag>
            <w:r w:rsidRPr="0058257A">
              <w:t xml:space="preserve"> = </w:t>
            </w:r>
            <w:smartTag w:uri="urn:schemas-microsoft-com:office:smarttags" w:element="metricconverter">
              <w:smartTagPr>
                <w:attr w:name="ProductID" w:val="10, M"/>
              </w:smartTagPr>
              <w:r w:rsidRPr="0058257A">
                <w:t>10, M</w:t>
              </w:r>
            </w:smartTag>
            <w:r w:rsidRPr="0058257A">
              <w:t xml:space="preserve"> = </w:t>
            </w:r>
            <w:smartTag w:uri="urn:schemas-microsoft-com:office:smarttags" w:element="metricconverter">
              <w:smartTagPr>
                <w:attr w:name="ProductID" w:val="300 in"/>
              </w:smartTagPr>
              <w:r w:rsidRPr="0058257A">
                <w:t>300 in</w:t>
              </w:r>
            </w:smartTag>
            <w:smartTag w:uri="urn:schemas-microsoft-com:office:smarttags" w:element="metricconverter">
              <w:smartTagPr>
                <w:attr w:name="ProductID" w:val="1 g"/>
              </w:smartTagPr>
              <w:r w:rsidRPr="0058257A">
                <w:t>1 g</w:t>
              </w:r>
            </w:smartTag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257A"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numPr>
                <w:ilvl w:val="12"/>
                <w:numId w:val="0"/>
              </w:numPr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b/>
                <w:sz w:val="24"/>
                <w:szCs w:val="24"/>
                <w:u w:val="none"/>
              </w:rPr>
              <w:t xml:space="preserve">Etichettatura 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L’indicazione del tipo di mangime è conforme all’art.15 a) del reg.767/09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Le indicazioni obbligatorie di etichettatura sono presenti e complete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L’etichettatura dei mangimi non è tale da trarre in inganno l’utilizzatore (</w:t>
            </w:r>
            <w:proofErr w:type="spellStart"/>
            <w:r w:rsidRPr="00C14F60">
              <w:rPr>
                <w:sz w:val="24"/>
                <w:szCs w:val="24"/>
                <w:u w:val="none"/>
              </w:rPr>
              <w:t>claims</w:t>
            </w:r>
            <w:proofErr w:type="spellEnd"/>
            <w:r w:rsidRPr="00C14F60">
              <w:rPr>
                <w:sz w:val="24"/>
                <w:szCs w:val="24"/>
                <w:u w:val="none"/>
              </w:rPr>
              <w:t xml:space="preserve"> impropri, </w:t>
            </w:r>
            <w:proofErr w:type="spellStart"/>
            <w:r w:rsidRPr="00C14F60">
              <w:rPr>
                <w:sz w:val="24"/>
                <w:szCs w:val="24"/>
                <w:u w:val="none"/>
              </w:rPr>
              <w:t>claims</w:t>
            </w:r>
            <w:proofErr w:type="spellEnd"/>
            <w:r w:rsidRPr="00C14F60">
              <w:rPr>
                <w:sz w:val="24"/>
                <w:szCs w:val="24"/>
                <w:u w:val="none"/>
              </w:rPr>
              <w:t xml:space="preserve"> farmacologici </w:t>
            </w:r>
            <w:proofErr w:type="spellStart"/>
            <w:r w:rsidRPr="00C14F60">
              <w:rPr>
                <w:sz w:val="24"/>
                <w:szCs w:val="24"/>
                <w:u w:val="none"/>
              </w:rPr>
              <w:t>etc…</w:t>
            </w:r>
            <w:proofErr w:type="spellEnd"/>
            <w:r w:rsidRPr="00C14F60">
              <w:rPr>
                <w:sz w:val="24"/>
                <w:szCs w:val="24"/>
                <w:u w:val="none"/>
              </w:rPr>
              <w:t>)</w:t>
            </w:r>
          </w:p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Note: ……………………………………………………………………………………...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 xml:space="preserve">L’indicazione degli additivi nei mangimi composti riporta la denominazione dell’additivo così come previsto nel regolamento autorizzativo dell’additivo o nel registro comunitario 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</w:tcPr>
          <w:p w:rsidR="00FC0231" w:rsidRPr="00C14F60" w:rsidRDefault="00FC0231" w:rsidP="00CE182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C14F60">
              <w:rPr>
                <w:sz w:val="24"/>
                <w:szCs w:val="24"/>
                <w:u w:val="none"/>
              </w:rPr>
              <w:t>I prodotti ad uso tecnico non destinati all’alimentazione animale sono chiaramente identificati e distinguibili da quelli destinati ai mangimi</w:t>
            </w:r>
          </w:p>
        </w:tc>
        <w:tc>
          <w:tcPr>
            <w:tcW w:w="1440" w:type="dxa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</w:tr>
    </w:tbl>
    <w:p w:rsidR="00FC0231" w:rsidRDefault="00FC0231" w:rsidP="00FC0231"/>
    <w:p w:rsidR="00FC0231" w:rsidRDefault="00FC0231" w:rsidP="00FC0231"/>
    <w:p w:rsidR="00FC0231" w:rsidRDefault="00FC0231" w:rsidP="00FC0231"/>
    <w:p w:rsidR="00FC0231" w:rsidRDefault="00FC0231" w:rsidP="00FC0231"/>
    <w:p w:rsidR="00FC0231" w:rsidRDefault="00FC0231" w:rsidP="00FC0231"/>
    <w:tbl>
      <w:tblPr>
        <w:tblW w:w="100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08"/>
        <w:gridCol w:w="3909"/>
        <w:gridCol w:w="1363"/>
      </w:tblGrid>
      <w:tr w:rsidR="00FC0231" w:rsidRPr="0058257A" w:rsidTr="00CE182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0231" w:rsidRPr="0058257A" w:rsidRDefault="00FC0231" w:rsidP="00CE1822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rPr>
                <w:b/>
                <w:bCs/>
              </w:rPr>
              <w:t>CONCLUSIONI: GIUDIZIO COMPLESSIVO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2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</w:rPr>
            </w:pPr>
            <w:r w:rsidRPr="0058257A">
              <w:rPr>
                <w:b/>
              </w:rPr>
              <w:t>FAVOREVOLE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63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2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b/>
              </w:rPr>
            </w:pPr>
            <w:r w:rsidRPr="0058257A">
              <w:rPr>
                <w:b/>
              </w:rPr>
              <w:t>SFAVOREVOLE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</w:tcPr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</w:tcPr>
          <w:p w:rsidR="00FC0231" w:rsidRPr="0058257A" w:rsidRDefault="00FC0231" w:rsidP="00CE1822">
            <w:pPr>
              <w:pStyle w:val="Titolo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2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rPr>
                <w:b/>
                <w:bCs/>
              </w:rPr>
              <w:t>FAVOREVOLE CONDIZIONATO</w:t>
            </w:r>
            <w:r w:rsidRPr="0058257A">
              <w:t xml:space="preserve"> all’effettuazione d’adeguamenti strutturali e/o funzionali da effettuarsi entro il tempo massimo indicato dall’autorità competente, a far data dalla formale comunicazione.</w:t>
            </w:r>
            <w:r w:rsidRPr="0058257A">
              <w:tab/>
              <w:t xml:space="preserve"> |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Note........................................................................................................................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63" w:type="dxa"/>
          </w:tcPr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</w:p>
          <w:p w:rsidR="00FC0231" w:rsidRPr="0058257A" w:rsidRDefault="00FC0231" w:rsidP="00CE1822">
            <w:pPr>
              <w:jc w:val="center"/>
            </w:pPr>
            <w:r w:rsidRPr="0058257A">
              <w:t>SI</w:t>
            </w:r>
            <w:r w:rsidRPr="0058257A">
              <w:t>    NO</w:t>
            </w:r>
            <w:r w:rsidRPr="0058257A">
              <w:t></w:t>
            </w:r>
          </w:p>
          <w:p w:rsidR="00FC0231" w:rsidRPr="0058257A" w:rsidRDefault="00FC0231" w:rsidP="00CE1822">
            <w:pPr>
              <w:jc w:val="center"/>
            </w:pP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descrizione adeguamenti strutturali: ……………………………………………………………………...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descrizione adeguamenti strutturali: ……………………………………………………………………...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tabs>
                <w:tab w:val="center" w:pos="4970"/>
              </w:tabs>
            </w:pPr>
            <w:r w:rsidRPr="0058257A">
              <w:t>Tempo di adeguamento …………………………………………………………………………………..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Sanzioni comminate (*):………………………………………………......................................................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 xml:space="preserve"> ………………………………………………………………………………............................................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………………………………………………………………………………….........................................</w:t>
            </w:r>
            <w:r w:rsidRPr="0058257A">
              <w:rPr>
                <w:i/>
                <w:sz w:val="20"/>
                <w:szCs w:val="20"/>
              </w:rPr>
              <w:t>(* specificare tipologia, importo e prescrizione di legge infranta)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All'atto del sopralluogo in rappresentanza della ditta risulta/no presente/ti (specificare cognome, nome e carica rivestita):………………………………………………………………………………………….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both"/>
            </w:pPr>
            <w:r w:rsidRPr="0058257A">
              <w:t>.....................................................................................................................................................................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r w:rsidRPr="0058257A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Commenti: ..................................................................................................................................................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…………………………………………………………………………………………………………….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Suggerimenti forniti: ………………………………………………………………………………….......</w:t>
            </w:r>
          </w:p>
          <w:p w:rsidR="00FC0231" w:rsidRPr="0058257A" w:rsidRDefault="00FC0231" w:rsidP="00CE1822">
            <w:pPr>
              <w:jc w:val="center"/>
            </w:pPr>
            <w:r w:rsidRPr="0058257A">
              <w:t>….…………………………………………………………………………………………………………</w:t>
            </w:r>
          </w:p>
          <w:p w:rsidR="00FC0231" w:rsidRPr="0058257A" w:rsidRDefault="00FC0231" w:rsidP="00CE1822">
            <w:pPr>
              <w:jc w:val="both"/>
            </w:pPr>
            <w:r w:rsidRPr="0058257A">
              <w:t>…………………………………………………………………………………………………………….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4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Eventuale documentazione raccolta: …………………………………………………………………….. …………………………………………………………………………………………………………….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 xml:space="preserve">……………………………………………………………………………………………………………. 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Eventuali campioni prelevati : ……………………………………………………………………………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………………………………………………………………………………….........................................</w:t>
            </w:r>
          </w:p>
          <w:p w:rsidR="00FC0231" w:rsidRPr="0058257A" w:rsidRDefault="00FC0231" w:rsidP="00CE1822">
            <w:r w:rsidRPr="0058257A">
              <w:t>verbale campionamento n.: ……………………………………………………………………………….</w:t>
            </w:r>
          </w:p>
        </w:tc>
      </w:tr>
      <w:tr w:rsidR="00FC0231" w:rsidRPr="0058257A" w:rsidTr="00CE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8" w:type="dxa"/>
            <w:gridSpan w:val="2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Il Legale Rappresentante della Ditta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</w:pPr>
            <w:r w:rsidRPr="0058257A">
              <w:t>…………………………………………………</w:t>
            </w:r>
            <w:r w:rsidRPr="0058257A">
              <w:lastRenderedPageBreak/>
              <w:t>……………………………………………………………………………………………………</w:t>
            </w:r>
          </w:p>
        </w:tc>
        <w:tc>
          <w:tcPr>
            <w:tcW w:w="5272" w:type="dxa"/>
            <w:gridSpan w:val="2"/>
          </w:tcPr>
          <w:p w:rsidR="00FC0231" w:rsidRPr="0058257A" w:rsidRDefault="00FC0231" w:rsidP="00CE1822">
            <w:pPr>
              <w:autoSpaceDE w:val="0"/>
              <w:autoSpaceDN w:val="0"/>
              <w:adjustRightInd w:val="0"/>
              <w:jc w:val="right"/>
            </w:pP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right"/>
            </w:pPr>
            <w:r w:rsidRPr="0058257A">
              <w:t>I Verbalizzanti:</w:t>
            </w:r>
          </w:p>
          <w:p w:rsidR="00FC0231" w:rsidRPr="0058257A" w:rsidRDefault="00FC0231" w:rsidP="00CE1822">
            <w:pPr>
              <w:autoSpaceDE w:val="0"/>
              <w:autoSpaceDN w:val="0"/>
              <w:adjustRightInd w:val="0"/>
              <w:jc w:val="right"/>
            </w:pPr>
            <w:r w:rsidRPr="0058257A">
              <w:t>Il Veterinario Ufficiale</w:t>
            </w:r>
          </w:p>
          <w:p w:rsidR="00FC0231" w:rsidRPr="0058257A" w:rsidRDefault="00FC0231" w:rsidP="00CE1822">
            <w:r w:rsidRPr="0058257A">
              <w:t>………………………………………………………</w:t>
            </w:r>
            <w:r w:rsidRPr="0058257A">
              <w:lastRenderedPageBreak/>
              <w:t>………………………………………………………</w:t>
            </w:r>
          </w:p>
          <w:p w:rsidR="00FC0231" w:rsidRPr="0058257A" w:rsidRDefault="00FC0231" w:rsidP="00CE1822">
            <w:r w:rsidRPr="0058257A">
              <w:t>………………………………………………………</w:t>
            </w:r>
          </w:p>
        </w:tc>
      </w:tr>
    </w:tbl>
    <w:p w:rsidR="001B7264" w:rsidRDefault="001B7264">
      <w:bookmarkStart w:id="0" w:name="_GoBack"/>
      <w:bookmarkEnd w:id="0"/>
    </w:p>
    <w:sectPr w:rsidR="001B7264" w:rsidSect="00AC3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59B"/>
    <w:multiLevelType w:val="hybridMultilevel"/>
    <w:tmpl w:val="50ECCDDC"/>
    <w:lvl w:ilvl="0" w:tplc="97FC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B60C2"/>
    <w:multiLevelType w:val="hybridMultilevel"/>
    <w:tmpl w:val="85CC7052"/>
    <w:lvl w:ilvl="0" w:tplc="E8F6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020C"/>
    <w:multiLevelType w:val="hybridMultilevel"/>
    <w:tmpl w:val="45CAB4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D62AB"/>
    <w:multiLevelType w:val="hybridMultilevel"/>
    <w:tmpl w:val="0994E170"/>
    <w:lvl w:ilvl="0" w:tplc="E8F6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06C20"/>
    <w:multiLevelType w:val="hybridMultilevel"/>
    <w:tmpl w:val="3B0E1690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A6FDC"/>
    <w:multiLevelType w:val="hybridMultilevel"/>
    <w:tmpl w:val="1A941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3626"/>
    <w:multiLevelType w:val="hybridMultilevel"/>
    <w:tmpl w:val="041ABC78"/>
    <w:lvl w:ilvl="0" w:tplc="97FC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10DB1"/>
    <w:multiLevelType w:val="hybridMultilevel"/>
    <w:tmpl w:val="9F02B598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91507"/>
    <w:multiLevelType w:val="hybridMultilevel"/>
    <w:tmpl w:val="0E8C4BAE"/>
    <w:lvl w:ilvl="0" w:tplc="97FC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40B48"/>
    <w:multiLevelType w:val="hybridMultilevel"/>
    <w:tmpl w:val="EA1A88BA"/>
    <w:lvl w:ilvl="0" w:tplc="E8F6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D53DE"/>
    <w:multiLevelType w:val="hybridMultilevel"/>
    <w:tmpl w:val="4B8EDB7E"/>
    <w:lvl w:ilvl="0" w:tplc="E8F6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622D9"/>
    <w:multiLevelType w:val="hybridMultilevel"/>
    <w:tmpl w:val="FCDC37FE"/>
    <w:lvl w:ilvl="0" w:tplc="E8F6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B5BBD"/>
    <w:multiLevelType w:val="hybridMultilevel"/>
    <w:tmpl w:val="1EB0BA04"/>
    <w:lvl w:ilvl="0" w:tplc="97FC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C0231"/>
    <w:rsid w:val="001B7264"/>
    <w:rsid w:val="002A08AB"/>
    <w:rsid w:val="00AC3F09"/>
    <w:rsid w:val="00FC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1"/>
    <w:qFormat/>
    <w:rsid w:val="00FC0231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uiPriority w:val="10"/>
    <w:rsid w:val="00FC0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FC0231"/>
    <w:rPr>
      <w:rFonts w:ascii="Times New Roman" w:eastAsia="Times New Roman" w:hAnsi="Times New Roman" w:cs="Times New Roman"/>
      <w:sz w:val="28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1"/>
    <w:qFormat/>
    <w:rsid w:val="00FC0231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uiPriority w:val="10"/>
    <w:rsid w:val="00FC0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FC0231"/>
    <w:rPr>
      <w:rFonts w:ascii="Times New Roman" w:eastAsia="Times New Roman" w:hAnsi="Times New Roman" w:cs="Times New Roman"/>
      <w:sz w:val="28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mvettorato</cp:lastModifiedBy>
  <cp:revision>2</cp:revision>
  <dcterms:created xsi:type="dcterms:W3CDTF">2014-12-01T07:27:00Z</dcterms:created>
  <dcterms:modified xsi:type="dcterms:W3CDTF">2014-12-01T07:27:00Z</dcterms:modified>
</cp:coreProperties>
</file>